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5B61" w:rsidRDefault="00495B61" w:rsidP="00495B61">
      <w:pPr>
        <w:spacing w:before="240" w:after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26C2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F526C2">
        <w:rPr>
          <w:rFonts w:ascii="Times New Roman" w:hAnsi="Times New Roman" w:cs="Times New Roman"/>
          <w:b/>
          <w:bCs/>
          <w:sz w:val="24"/>
          <w:szCs w:val="24"/>
        </w:rPr>
        <w:t>dditional files 1</w:t>
      </w:r>
    </w:p>
    <w:p w:rsidR="00495B61" w:rsidRDefault="00495B61" w:rsidP="00495B61">
      <w:pPr>
        <w:spacing w:before="240" w:after="240"/>
        <w:jc w:val="left"/>
        <w:rPr>
          <w:rFonts w:ascii="Times New Roman" w:hAnsi="Times New Roman" w:cs="Times New Roman"/>
          <w:sz w:val="24"/>
          <w:szCs w:val="24"/>
        </w:rPr>
      </w:pPr>
      <w:r w:rsidRPr="00F526C2">
        <w:rPr>
          <w:rFonts w:ascii="Times New Roman" w:hAnsi="Times New Roman" w:cs="Times New Roman"/>
          <w:sz w:val="24"/>
          <w:szCs w:val="24"/>
        </w:rPr>
        <w:t xml:space="preserve">Figure S1. Kinship hist of the 112 accessions. </w:t>
      </w:r>
    </w:p>
    <w:p w:rsidR="00495B61" w:rsidRDefault="00307460" w:rsidP="00495B61">
      <w:pPr>
        <w:spacing w:before="240" w:after="24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4572000" cy="4572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5B61" w:rsidRDefault="00495B61" w:rsidP="00495B61">
      <w:pPr>
        <w:spacing w:before="240" w:after="240"/>
        <w:jc w:val="left"/>
        <w:rPr>
          <w:rFonts w:ascii="Times New Roman" w:hAnsi="Times New Roman" w:cs="Times New Roman"/>
          <w:sz w:val="24"/>
          <w:szCs w:val="24"/>
        </w:rPr>
      </w:pPr>
      <w:r w:rsidRPr="00F526C2">
        <w:rPr>
          <w:rFonts w:ascii="Times New Roman" w:hAnsi="Times New Roman" w:cs="Times New Roman"/>
          <w:sz w:val="24"/>
          <w:szCs w:val="24"/>
        </w:rPr>
        <w:t xml:space="preserve">Figure S2. PCA analysis in 112 accession of ramie. </w:t>
      </w:r>
    </w:p>
    <w:p w:rsidR="00307460" w:rsidRDefault="00307460" w:rsidP="00495B61">
      <w:pPr>
        <w:spacing w:before="240" w:after="24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74310" cy="3957320"/>
            <wp:effectExtent l="0" t="0" r="25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5B61" w:rsidRDefault="00495B61" w:rsidP="00495B61">
      <w:pPr>
        <w:spacing w:before="240" w:after="240"/>
        <w:jc w:val="left"/>
        <w:rPr>
          <w:rFonts w:ascii="Times New Roman" w:hAnsi="Times New Roman" w:cs="Times New Roman"/>
          <w:sz w:val="24"/>
          <w:szCs w:val="24"/>
        </w:rPr>
      </w:pPr>
      <w:r w:rsidRPr="00F526C2">
        <w:rPr>
          <w:rFonts w:ascii="Times New Roman" w:hAnsi="Times New Roman" w:cs="Times New Roman"/>
          <w:sz w:val="24"/>
          <w:szCs w:val="24"/>
        </w:rPr>
        <w:t xml:space="preserve">Figure S3 Quantile-quantile (Q–Q) plot of GLM-Q model. </w:t>
      </w:r>
    </w:p>
    <w:p w:rsidR="00307460" w:rsidRDefault="00307460" w:rsidP="00495B61">
      <w:pPr>
        <w:spacing w:before="240" w:after="24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967990"/>
            <wp:effectExtent l="0" t="0" r="254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5B61" w:rsidRDefault="00495B61" w:rsidP="00495B61">
      <w:pPr>
        <w:spacing w:before="240" w:after="240"/>
        <w:jc w:val="left"/>
        <w:rPr>
          <w:rFonts w:ascii="Times New Roman" w:hAnsi="Times New Roman" w:cs="Times New Roman"/>
          <w:sz w:val="24"/>
          <w:szCs w:val="24"/>
        </w:rPr>
      </w:pPr>
      <w:r w:rsidRPr="00F526C2">
        <w:rPr>
          <w:rFonts w:ascii="Times New Roman" w:hAnsi="Times New Roman" w:cs="Times New Roman"/>
          <w:sz w:val="24"/>
          <w:szCs w:val="24"/>
        </w:rPr>
        <w:t>Figure S4. Quantile-quantile (Q–Q) plot of MLM-Q+K model.</w:t>
      </w:r>
    </w:p>
    <w:p w:rsidR="00307460" w:rsidRDefault="00307460" w:rsidP="00495B61">
      <w:pPr>
        <w:spacing w:before="240" w:after="24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74310" cy="2967990"/>
            <wp:effectExtent l="0" t="0" r="254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5B61" w:rsidRDefault="00495B61" w:rsidP="00495B61">
      <w:pPr>
        <w:spacing w:before="240" w:after="240"/>
        <w:jc w:val="left"/>
        <w:rPr>
          <w:rFonts w:ascii="Times New Roman" w:hAnsi="Times New Roman" w:cs="Times New Roman"/>
          <w:sz w:val="24"/>
          <w:szCs w:val="24"/>
        </w:rPr>
      </w:pPr>
      <w:r w:rsidRPr="00F526C2">
        <w:rPr>
          <w:rFonts w:ascii="Times New Roman" w:hAnsi="Times New Roman" w:cs="Times New Roman"/>
          <w:sz w:val="24"/>
          <w:szCs w:val="24"/>
        </w:rPr>
        <w:t xml:space="preserve">Figure S5. Quantile-quantile (Q–Q) plot of EMMAX model. </w:t>
      </w:r>
    </w:p>
    <w:p w:rsidR="00307460" w:rsidRDefault="00307460" w:rsidP="00495B61">
      <w:pPr>
        <w:spacing w:before="240" w:after="24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967990"/>
            <wp:effectExtent l="0" t="0" r="254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5B61" w:rsidRDefault="00495B61" w:rsidP="00495B61">
      <w:pPr>
        <w:spacing w:before="240" w:after="240"/>
        <w:jc w:val="left"/>
        <w:rPr>
          <w:rFonts w:ascii="Times New Roman" w:hAnsi="Times New Roman" w:cs="Times New Roman"/>
          <w:sz w:val="24"/>
          <w:szCs w:val="24"/>
        </w:rPr>
      </w:pPr>
      <w:r w:rsidRPr="00F526C2">
        <w:rPr>
          <w:rFonts w:ascii="Times New Roman" w:hAnsi="Times New Roman" w:cs="Times New Roman"/>
          <w:sz w:val="24"/>
          <w:szCs w:val="24"/>
        </w:rPr>
        <w:t>Figure S6. Manhattan plots and Q-Q plots of SNP markers for fiber fineness of third season.</w:t>
      </w:r>
    </w:p>
    <w:p w:rsidR="00307460" w:rsidRDefault="00307460" w:rsidP="00495B61">
      <w:pPr>
        <w:spacing w:before="240" w:after="24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74310" cy="2091690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9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5B61" w:rsidRDefault="00495B61" w:rsidP="00495B61">
      <w:pPr>
        <w:spacing w:before="240" w:after="240"/>
        <w:jc w:val="left"/>
        <w:rPr>
          <w:rFonts w:ascii="Times New Roman" w:hAnsi="Times New Roman" w:cs="Times New Roman"/>
          <w:sz w:val="24"/>
          <w:szCs w:val="24"/>
        </w:rPr>
      </w:pPr>
      <w:r w:rsidRPr="00F526C2">
        <w:rPr>
          <w:rFonts w:ascii="Times New Roman" w:hAnsi="Times New Roman" w:cs="Times New Roman"/>
          <w:sz w:val="24"/>
          <w:szCs w:val="24"/>
        </w:rPr>
        <w:t xml:space="preserve">Figure S7. Manhattan plots and Q-Q plots of SNP markers for fiber percentage of second season. </w:t>
      </w:r>
    </w:p>
    <w:p w:rsidR="00307460" w:rsidRDefault="00307460" w:rsidP="00495B61">
      <w:pPr>
        <w:spacing w:before="240" w:after="24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1712595"/>
            <wp:effectExtent l="0" t="0" r="2540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1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5B61" w:rsidRDefault="00495B61" w:rsidP="00495B61">
      <w:pPr>
        <w:spacing w:before="240" w:after="240"/>
        <w:jc w:val="left"/>
        <w:rPr>
          <w:rFonts w:ascii="Times New Roman" w:hAnsi="Times New Roman" w:cs="Times New Roman"/>
          <w:sz w:val="24"/>
          <w:szCs w:val="24"/>
        </w:rPr>
      </w:pPr>
      <w:r w:rsidRPr="00F526C2">
        <w:rPr>
          <w:rFonts w:ascii="Times New Roman" w:hAnsi="Times New Roman" w:cs="Times New Roman"/>
          <w:sz w:val="24"/>
          <w:szCs w:val="24"/>
        </w:rPr>
        <w:t xml:space="preserve">Figure S8. Manhattan plots and Q-Q plots of SNP markers for fiber percentage of third season. </w:t>
      </w:r>
    </w:p>
    <w:p w:rsidR="00307460" w:rsidRDefault="00307460" w:rsidP="00495B61">
      <w:pPr>
        <w:spacing w:before="240" w:after="24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170053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0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5B61" w:rsidRDefault="00495B61" w:rsidP="00495B61">
      <w:pPr>
        <w:spacing w:before="240" w:after="240"/>
        <w:jc w:val="left"/>
        <w:rPr>
          <w:rFonts w:ascii="Times New Roman" w:hAnsi="Times New Roman" w:cs="Times New Roman"/>
          <w:sz w:val="24"/>
          <w:szCs w:val="24"/>
        </w:rPr>
      </w:pPr>
      <w:r w:rsidRPr="00F526C2">
        <w:rPr>
          <w:rFonts w:ascii="Times New Roman" w:hAnsi="Times New Roman" w:cs="Times New Roman"/>
          <w:sz w:val="24"/>
          <w:szCs w:val="24"/>
        </w:rPr>
        <w:t xml:space="preserve">Figure S9. Relative expression of candidate genes of stem diameter in third season. </w:t>
      </w:r>
    </w:p>
    <w:p w:rsidR="00307460" w:rsidRDefault="00307460" w:rsidP="00495B61">
      <w:pPr>
        <w:spacing w:before="240" w:after="24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74310" cy="2127885"/>
            <wp:effectExtent l="0" t="0" r="2540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2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5B61" w:rsidRDefault="00495B61" w:rsidP="00495B61">
      <w:pPr>
        <w:spacing w:before="240" w:after="240"/>
        <w:jc w:val="left"/>
        <w:rPr>
          <w:rFonts w:ascii="Times New Roman" w:hAnsi="Times New Roman" w:cs="Times New Roman"/>
          <w:sz w:val="24"/>
          <w:szCs w:val="24"/>
        </w:rPr>
      </w:pPr>
      <w:r w:rsidRPr="00F526C2">
        <w:rPr>
          <w:rFonts w:ascii="Times New Roman" w:hAnsi="Times New Roman" w:cs="Times New Roman"/>
          <w:sz w:val="24"/>
          <w:szCs w:val="24"/>
        </w:rPr>
        <w:t xml:space="preserve">Figure S10. Relative expression of candidate genes of SKT in third season. </w:t>
      </w:r>
    </w:p>
    <w:p w:rsidR="00307460" w:rsidRDefault="00307460" w:rsidP="00495B61">
      <w:pPr>
        <w:spacing w:before="240" w:after="24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3217545"/>
            <wp:effectExtent l="0" t="0" r="2540" b="19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1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5B61" w:rsidRPr="00F526C2" w:rsidRDefault="00495B61" w:rsidP="00495B61">
      <w:pPr>
        <w:spacing w:before="240" w:after="240"/>
        <w:jc w:val="left"/>
        <w:rPr>
          <w:rFonts w:ascii="Times New Roman" w:hAnsi="Times New Roman" w:cs="Times New Roman" w:hint="eastAsia"/>
          <w:sz w:val="24"/>
          <w:szCs w:val="24"/>
        </w:rPr>
      </w:pPr>
      <w:r w:rsidRPr="00F526C2">
        <w:rPr>
          <w:rFonts w:ascii="Times New Roman" w:hAnsi="Times New Roman" w:cs="Times New Roman"/>
          <w:sz w:val="24"/>
          <w:szCs w:val="24"/>
        </w:rPr>
        <w:t>Figure S11</w:t>
      </w:r>
      <w:r w:rsidR="00352606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  <w:r w:rsidRPr="00F526C2">
        <w:rPr>
          <w:rFonts w:ascii="Times New Roman" w:hAnsi="Times New Roman" w:cs="Times New Roman"/>
          <w:sz w:val="24"/>
          <w:szCs w:val="24"/>
        </w:rPr>
        <w:t xml:space="preserve"> Relative expression of candidate genes of PC of second season.</w:t>
      </w:r>
    </w:p>
    <w:p w:rsidR="00495B61" w:rsidRPr="00495B61" w:rsidRDefault="00307460">
      <w:r>
        <w:rPr>
          <w:noProof/>
        </w:rPr>
        <w:drawing>
          <wp:inline distT="0" distB="0" distL="0" distR="0">
            <wp:extent cx="5274310" cy="213677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3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95B61" w:rsidRPr="00495B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B61"/>
    <w:rsid w:val="00307460"/>
    <w:rsid w:val="00352606"/>
    <w:rsid w:val="00495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D20EF"/>
  <w15:chartTrackingRefBased/>
  <w15:docId w15:val="{E8E1BAEF-E887-4D72-B02A-058601F5C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95B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2019-09-28T08:43:00Z</dcterms:created>
  <dcterms:modified xsi:type="dcterms:W3CDTF">2019-09-28T08:49:00Z</dcterms:modified>
</cp:coreProperties>
</file>